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7A4" w:rsidRDefault="00CB17A4" w:rsidP="007D63C9">
      <w:pPr>
        <w:ind w:right="-1"/>
        <w:rPr>
          <w:rFonts w:ascii="TradeGothic" w:hAnsi="TradeGothic"/>
          <w:b/>
          <w:color w:val="333333"/>
          <w:sz w:val="28"/>
          <w:szCs w:val="28"/>
        </w:rPr>
      </w:pPr>
    </w:p>
    <w:p w:rsidR="00C4115D" w:rsidRDefault="00010FFF" w:rsidP="007D63C9">
      <w:pPr>
        <w:ind w:right="-1"/>
        <w:rPr>
          <w:rFonts w:ascii="TradeGothic" w:hAnsi="TradeGothic"/>
          <w:b/>
          <w:color w:val="333333"/>
          <w:sz w:val="28"/>
          <w:szCs w:val="28"/>
        </w:rPr>
      </w:pPr>
      <w:r>
        <w:rPr>
          <w:rFonts w:ascii="TradeGothic" w:hAnsi="TradeGothic"/>
          <w:b/>
          <w:color w:val="333333"/>
          <w:sz w:val="28"/>
          <w:szCs w:val="28"/>
        </w:rPr>
        <w:t>Información sobre la central n</w:t>
      </w:r>
      <w:r w:rsidR="00B74C7F">
        <w:rPr>
          <w:rFonts w:ascii="TradeGothic" w:hAnsi="TradeGothic"/>
          <w:b/>
          <w:color w:val="333333"/>
          <w:sz w:val="28"/>
          <w:szCs w:val="28"/>
        </w:rPr>
        <w:t>uclear Vandellós II (Tarragona)</w:t>
      </w:r>
      <w:r>
        <w:rPr>
          <w:rFonts w:ascii="TradeGothic" w:hAnsi="TradeGothic"/>
          <w:b/>
          <w:color w:val="333333"/>
          <w:sz w:val="28"/>
          <w:szCs w:val="28"/>
        </w:rPr>
        <w:t>–INES 0</w:t>
      </w:r>
    </w:p>
    <w:p w:rsidR="00CB17A4" w:rsidRDefault="00CB17A4" w:rsidP="007D63C9">
      <w:pPr>
        <w:ind w:right="-1"/>
        <w:rPr>
          <w:rFonts w:ascii="TradeGothic" w:hAnsi="TradeGothic"/>
          <w:b/>
          <w:color w:val="333333"/>
          <w:sz w:val="28"/>
          <w:szCs w:val="28"/>
        </w:rPr>
      </w:pPr>
    </w:p>
    <w:p w:rsidR="009332EE" w:rsidRDefault="00F97638" w:rsidP="00E004BB">
      <w:pPr>
        <w:rPr>
          <w:rFonts w:ascii="TradeGothic" w:hAnsi="TradeGothic"/>
          <w:b/>
          <w:noProof/>
          <w:sz w:val="24"/>
          <w:szCs w:val="24"/>
        </w:rPr>
      </w:pPr>
      <w:r>
        <w:rPr>
          <w:rFonts w:ascii="TradeGothic" w:hAnsi="TradeGothic"/>
          <w:b/>
          <w:noProof/>
          <w:sz w:val="24"/>
          <w:szCs w:val="24"/>
        </w:rPr>
        <w:pict>
          <v:line id="_x0000_s1027" style="position:absolute;flip:y;z-index:251657728" from="158.1pt,10.15pt" to="540.3pt,10.15pt" strokeweight="1.75pt">
            <v:stroke linestyle="thinThick"/>
          </v:line>
        </w:pict>
      </w:r>
      <w:r w:rsidR="00010FFF">
        <w:rPr>
          <w:rFonts w:ascii="TradeGothic" w:hAnsi="TradeGothic"/>
          <w:b/>
          <w:noProof/>
          <w:sz w:val="24"/>
          <w:szCs w:val="24"/>
        </w:rPr>
        <w:t>04</w:t>
      </w:r>
      <w:r w:rsidR="001C237E">
        <w:rPr>
          <w:rFonts w:ascii="TradeGothic" w:hAnsi="TradeGothic"/>
          <w:b/>
          <w:noProof/>
          <w:sz w:val="24"/>
          <w:szCs w:val="24"/>
        </w:rPr>
        <w:t xml:space="preserve"> de</w:t>
      </w:r>
      <w:r w:rsidR="007D63C9">
        <w:rPr>
          <w:rFonts w:ascii="TradeGothic" w:hAnsi="TradeGothic"/>
          <w:b/>
          <w:noProof/>
          <w:sz w:val="24"/>
          <w:szCs w:val="24"/>
        </w:rPr>
        <w:t xml:space="preserve"> </w:t>
      </w:r>
      <w:r w:rsidR="00010FFF">
        <w:rPr>
          <w:rFonts w:ascii="TradeGothic" w:hAnsi="TradeGothic"/>
          <w:b/>
          <w:noProof/>
          <w:sz w:val="24"/>
          <w:szCs w:val="24"/>
        </w:rPr>
        <w:t>febrero de 2015</w:t>
      </w:r>
    </w:p>
    <w:p w:rsidR="00CB17A4" w:rsidRDefault="00CB17A4" w:rsidP="00851177">
      <w:pPr>
        <w:pStyle w:val="Body1"/>
        <w:jc w:val="both"/>
        <w:rPr>
          <w:rFonts w:ascii="Garamond" w:hAnsi="Garamond"/>
          <w:sz w:val="24"/>
          <w:szCs w:val="24"/>
        </w:rPr>
      </w:pPr>
    </w:p>
    <w:p w:rsidR="00010FFF" w:rsidRPr="00010FFF" w:rsidRDefault="00010FFF" w:rsidP="00010FFF">
      <w:pPr>
        <w:pStyle w:val="Body1"/>
        <w:jc w:val="both"/>
        <w:rPr>
          <w:rFonts w:ascii="Garamond" w:hAnsi="Garamond"/>
          <w:sz w:val="24"/>
          <w:szCs w:val="24"/>
        </w:rPr>
      </w:pPr>
      <w:r w:rsidRPr="00010FFF">
        <w:rPr>
          <w:rFonts w:ascii="Garamond" w:hAnsi="Garamond"/>
          <w:sz w:val="24"/>
          <w:szCs w:val="24"/>
        </w:rPr>
        <w:t>El titular ha notificado, siguiendo los procedimientos establecidos, que durante las maniobras de cierre de los interruptores del sistema de protección del reactor, se ha producido una señal falsa de aislamiento del agua de alimentación principal a los generadores de vapor. Esta señal falsa ha provocado la parada de las bombas de agua de alimentación principal y, a su vez, el arranque de las bombas de agua de alimentación auxiliar.</w:t>
      </w:r>
    </w:p>
    <w:p w:rsidR="007D63C9" w:rsidRPr="009916A8" w:rsidRDefault="00010FFF" w:rsidP="00010FFF">
      <w:pPr>
        <w:pStyle w:val="Body1"/>
        <w:jc w:val="both"/>
        <w:rPr>
          <w:rFonts w:ascii="Garamond" w:hAnsi="Garamond"/>
          <w:sz w:val="24"/>
          <w:szCs w:val="24"/>
        </w:rPr>
      </w:pPr>
      <w:r w:rsidRPr="00010FFF">
        <w:rPr>
          <w:rFonts w:ascii="Garamond" w:hAnsi="Garamond"/>
          <w:sz w:val="24"/>
          <w:szCs w:val="24"/>
        </w:rPr>
        <w:t>La central está parada desde el pasado día 3 y el titular está estudiando las causas que han motivado este suceso, que no ha tenido repercusión para los trabajadores, la población ni el medioambiente.</w:t>
      </w:r>
    </w:p>
    <w:sectPr w:rsidR="007D63C9" w:rsidRPr="009916A8" w:rsidSect="00382483">
      <w:headerReference w:type="default" r:id="rId7"/>
      <w:footerReference w:type="default" r:id="rId8"/>
      <w:pgSz w:w="11906" w:h="16838"/>
      <w:pgMar w:top="1417" w:right="1701" w:bottom="141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8DC" w:rsidRDefault="00B958DC" w:rsidP="00975B60">
      <w:pPr>
        <w:spacing w:after="0" w:line="240" w:lineRule="auto"/>
      </w:pPr>
      <w:r>
        <w:separator/>
      </w:r>
    </w:p>
  </w:endnote>
  <w:endnote w:type="continuationSeparator" w:id="0">
    <w:p w:rsidR="00B958DC" w:rsidRDefault="00B958DC" w:rsidP="00975B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adeGothic">
    <w:panose1 w:val="020B0500000000000000"/>
    <w:charset w:val="00"/>
    <w:family w:val="swiss"/>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02" w:rsidRDefault="008C3302" w:rsidP="00382483">
    <w:pPr>
      <w:pStyle w:val="Piedepgina"/>
      <w:jc w:val="right"/>
    </w:pPr>
  </w:p>
  <w:tbl>
    <w:tblPr>
      <w:tblW w:w="11056"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51"/>
      <w:gridCol w:w="6096"/>
      <w:gridCol w:w="2409"/>
    </w:tblGrid>
    <w:tr w:rsidR="008C3302" w:rsidRPr="00F26DE5" w:rsidTr="00382483">
      <w:trPr>
        <w:cantSplit/>
        <w:trHeight w:val="120"/>
      </w:trPr>
      <w:tc>
        <w:tcPr>
          <w:tcW w:w="2551" w:type="dxa"/>
          <w:tcBorders>
            <w:top w:val="nil"/>
            <w:left w:val="nil"/>
            <w:bottom w:val="nil"/>
            <w:right w:val="nil"/>
          </w:tcBorders>
          <w:vAlign w:val="center"/>
        </w:tcPr>
        <w:p w:rsidR="008C3302" w:rsidRPr="00601958" w:rsidRDefault="008C3302" w:rsidP="00382483">
          <w:pPr>
            <w:pStyle w:val="Encabezado"/>
            <w:tabs>
              <w:tab w:val="clear" w:pos="4252"/>
              <w:tab w:val="clear" w:pos="8504"/>
            </w:tabs>
            <w:rPr>
              <w:rFonts w:ascii="Garamond" w:hAnsi="Garamond"/>
              <w:sz w:val="18"/>
              <w:szCs w:val="18"/>
              <w:bdr w:val="single" w:sz="4" w:space="0" w:color="auto"/>
            </w:rPr>
          </w:pPr>
          <w:r w:rsidRPr="00601958">
            <w:rPr>
              <w:rFonts w:ascii="Garamond" w:hAnsi="Garamond"/>
              <w:sz w:val="18"/>
              <w:szCs w:val="18"/>
              <w:bdr w:val="single" w:sz="4" w:space="0" w:color="auto"/>
            </w:rPr>
            <w:t>CORREO ELECTRÓNICO</w:t>
          </w:r>
        </w:p>
        <w:p w:rsidR="008C3302" w:rsidRPr="00601958" w:rsidRDefault="008C3302" w:rsidP="00382483">
          <w:pPr>
            <w:pStyle w:val="Encabezado"/>
            <w:tabs>
              <w:tab w:val="clear" w:pos="4252"/>
              <w:tab w:val="clear" w:pos="8504"/>
            </w:tabs>
            <w:rPr>
              <w:rFonts w:ascii="Garamond" w:hAnsi="Garamond"/>
              <w:sz w:val="18"/>
              <w:szCs w:val="18"/>
              <w:lang w:val="es-ES_tradnl"/>
            </w:rPr>
          </w:pPr>
          <w:r w:rsidRPr="00601958">
            <w:rPr>
              <w:rFonts w:ascii="Garamond" w:hAnsi="Garamond"/>
              <w:sz w:val="18"/>
              <w:szCs w:val="18"/>
            </w:rPr>
            <w:t>prensa@csn.es</w:t>
          </w:r>
        </w:p>
        <w:p w:rsidR="008C3302" w:rsidRPr="00601958" w:rsidRDefault="008C3302" w:rsidP="00382483">
          <w:pPr>
            <w:spacing w:line="240" w:lineRule="auto"/>
            <w:rPr>
              <w:rFonts w:ascii="Garamond" w:hAnsi="Garamond"/>
              <w:sz w:val="18"/>
              <w:szCs w:val="18"/>
            </w:rPr>
          </w:pPr>
        </w:p>
      </w:tc>
      <w:tc>
        <w:tcPr>
          <w:tcW w:w="6096" w:type="dxa"/>
          <w:tcBorders>
            <w:top w:val="nil"/>
            <w:left w:val="nil"/>
            <w:bottom w:val="nil"/>
            <w:right w:val="nil"/>
          </w:tcBorders>
        </w:tcPr>
        <w:p w:rsidR="008C3302" w:rsidRPr="00601958" w:rsidRDefault="008C3302" w:rsidP="00382483">
          <w:pPr>
            <w:spacing w:line="240" w:lineRule="auto"/>
            <w:rPr>
              <w:rFonts w:ascii="Garamond" w:hAnsi="Garamond"/>
              <w:sz w:val="18"/>
              <w:szCs w:val="18"/>
            </w:rPr>
          </w:pPr>
          <w:r w:rsidRPr="00601958">
            <w:rPr>
              <w:rFonts w:ascii="Garamond" w:hAnsi="Garamond"/>
              <w:sz w:val="18"/>
              <w:szCs w:val="18"/>
            </w:rPr>
            <w:t xml:space="preserve"> </w:t>
          </w:r>
        </w:p>
      </w:tc>
      <w:tc>
        <w:tcPr>
          <w:tcW w:w="2409" w:type="dxa"/>
          <w:vMerge w:val="restart"/>
          <w:tcBorders>
            <w:top w:val="nil"/>
            <w:bottom w:val="nil"/>
            <w:right w:val="nil"/>
          </w:tcBorders>
        </w:tcPr>
        <w:p w:rsidR="008C3302" w:rsidRPr="00132BDC" w:rsidRDefault="008C3302" w:rsidP="00382483">
          <w:pPr>
            <w:spacing w:before="120" w:after="0" w:line="240" w:lineRule="auto"/>
            <w:jc w:val="both"/>
            <w:rPr>
              <w:rFonts w:ascii="Garamond" w:hAnsi="Garamond"/>
              <w:sz w:val="17"/>
              <w:szCs w:val="17"/>
            </w:rPr>
          </w:pPr>
          <w:r>
            <w:rPr>
              <w:rFonts w:ascii="Garamond" w:hAnsi="Garamond"/>
              <w:sz w:val="17"/>
              <w:szCs w:val="17"/>
            </w:rPr>
            <w:t xml:space="preserve">  </w:t>
          </w:r>
          <w:r w:rsidRPr="00132BDC">
            <w:rPr>
              <w:rFonts w:ascii="Garamond" w:hAnsi="Garamond"/>
              <w:sz w:val="17"/>
              <w:szCs w:val="17"/>
            </w:rPr>
            <w:t>C / JUSTO DORADO, 11</w:t>
          </w:r>
        </w:p>
        <w:p w:rsidR="008C3302" w:rsidRPr="00132BDC" w:rsidRDefault="008C3302" w:rsidP="00382483">
          <w:pPr>
            <w:spacing w:after="0" w:line="240" w:lineRule="auto"/>
            <w:ind w:left="72"/>
            <w:jc w:val="both"/>
            <w:rPr>
              <w:rFonts w:ascii="Garamond" w:hAnsi="Garamond"/>
              <w:sz w:val="17"/>
              <w:szCs w:val="17"/>
            </w:rPr>
          </w:pPr>
          <w:r w:rsidRPr="00132BDC">
            <w:rPr>
              <w:rFonts w:ascii="Garamond" w:hAnsi="Garamond"/>
              <w:sz w:val="17"/>
              <w:szCs w:val="17"/>
            </w:rPr>
            <w:t>CP.</w:t>
          </w:r>
          <w:r>
            <w:rPr>
              <w:rFonts w:ascii="Garamond" w:hAnsi="Garamond"/>
              <w:sz w:val="17"/>
              <w:szCs w:val="17"/>
            </w:rPr>
            <w:t xml:space="preserve"> 28040</w:t>
          </w:r>
          <w:r w:rsidRPr="00132BDC">
            <w:rPr>
              <w:rFonts w:ascii="Garamond" w:hAnsi="Garamond"/>
              <w:sz w:val="17"/>
              <w:szCs w:val="17"/>
            </w:rPr>
            <w:t xml:space="preserve"> MADRID</w:t>
          </w:r>
        </w:p>
        <w:p w:rsidR="008C3302" w:rsidRPr="00132BDC" w:rsidRDefault="008C3302" w:rsidP="00382483">
          <w:pPr>
            <w:spacing w:after="0" w:line="240" w:lineRule="auto"/>
            <w:ind w:left="72"/>
            <w:jc w:val="both"/>
            <w:rPr>
              <w:rFonts w:ascii="Garamond" w:hAnsi="Garamond"/>
              <w:sz w:val="17"/>
              <w:szCs w:val="17"/>
            </w:rPr>
          </w:pPr>
          <w:r w:rsidRPr="00132BDC">
            <w:rPr>
              <w:rFonts w:ascii="Garamond" w:hAnsi="Garamond"/>
              <w:sz w:val="17"/>
              <w:szCs w:val="17"/>
            </w:rPr>
            <w:t>TEL:  91-346</w:t>
          </w:r>
          <w:r>
            <w:rPr>
              <w:rFonts w:ascii="Garamond" w:hAnsi="Garamond"/>
              <w:sz w:val="17"/>
              <w:szCs w:val="17"/>
            </w:rPr>
            <w:t xml:space="preserve"> </w:t>
          </w:r>
          <w:r w:rsidRPr="00132BDC">
            <w:rPr>
              <w:rFonts w:ascii="Garamond" w:hAnsi="Garamond"/>
              <w:sz w:val="17"/>
              <w:szCs w:val="17"/>
            </w:rPr>
            <w:t>02</w:t>
          </w:r>
          <w:r>
            <w:rPr>
              <w:rFonts w:ascii="Garamond" w:hAnsi="Garamond"/>
              <w:sz w:val="17"/>
              <w:szCs w:val="17"/>
            </w:rPr>
            <w:t xml:space="preserve"> </w:t>
          </w:r>
          <w:r w:rsidRPr="00132BDC">
            <w:rPr>
              <w:rFonts w:ascii="Garamond" w:hAnsi="Garamond"/>
              <w:sz w:val="17"/>
              <w:szCs w:val="17"/>
            </w:rPr>
            <w:t>00</w:t>
          </w:r>
        </w:p>
        <w:p w:rsidR="008C3302" w:rsidRPr="00601958" w:rsidRDefault="008C3302" w:rsidP="00382483">
          <w:pPr>
            <w:spacing w:after="0" w:line="240" w:lineRule="auto"/>
            <w:ind w:left="74"/>
            <w:rPr>
              <w:rFonts w:ascii="Garamond" w:hAnsi="Garamond"/>
              <w:sz w:val="18"/>
              <w:szCs w:val="18"/>
            </w:rPr>
          </w:pPr>
          <w:r>
            <w:rPr>
              <w:rFonts w:ascii="Garamond" w:hAnsi="Garamond"/>
              <w:sz w:val="17"/>
              <w:szCs w:val="17"/>
            </w:rPr>
            <w:t>FAX: 91 -346 06 66</w:t>
          </w:r>
          <w:r w:rsidRPr="00601958">
            <w:rPr>
              <w:rFonts w:ascii="Garamond" w:hAnsi="Garamond"/>
              <w:sz w:val="18"/>
              <w:szCs w:val="18"/>
            </w:rPr>
            <w:t xml:space="preserve"> </w:t>
          </w:r>
        </w:p>
      </w:tc>
    </w:tr>
    <w:tr w:rsidR="008C3302" w:rsidRPr="00F26DE5" w:rsidTr="00382483">
      <w:trPr>
        <w:cantSplit/>
        <w:trHeight w:val="120"/>
      </w:trPr>
      <w:tc>
        <w:tcPr>
          <w:tcW w:w="2551" w:type="dxa"/>
          <w:tcBorders>
            <w:top w:val="nil"/>
            <w:left w:val="nil"/>
            <w:bottom w:val="nil"/>
            <w:right w:val="nil"/>
          </w:tcBorders>
        </w:tcPr>
        <w:p w:rsidR="008C3302" w:rsidRPr="00601958" w:rsidRDefault="008C3302" w:rsidP="00382483">
          <w:pPr>
            <w:spacing w:line="240" w:lineRule="auto"/>
            <w:rPr>
              <w:rFonts w:ascii="Garamond" w:hAnsi="Garamond"/>
              <w:sz w:val="18"/>
              <w:szCs w:val="18"/>
            </w:rPr>
          </w:pPr>
          <w:r w:rsidRPr="00601958">
            <w:rPr>
              <w:rFonts w:ascii="Garamond" w:hAnsi="Garamond"/>
              <w:sz w:val="18"/>
              <w:szCs w:val="18"/>
            </w:rPr>
            <w:t xml:space="preserve">Página </w:t>
          </w:r>
          <w:r w:rsidR="00F97638" w:rsidRPr="00601958">
            <w:rPr>
              <w:rFonts w:ascii="Garamond" w:hAnsi="Garamond"/>
              <w:sz w:val="18"/>
              <w:szCs w:val="18"/>
            </w:rPr>
            <w:fldChar w:fldCharType="begin"/>
          </w:r>
          <w:r w:rsidRPr="00601958">
            <w:rPr>
              <w:rFonts w:ascii="Garamond" w:hAnsi="Garamond"/>
              <w:sz w:val="18"/>
              <w:szCs w:val="18"/>
            </w:rPr>
            <w:instrText xml:space="preserve"> PAGE </w:instrText>
          </w:r>
          <w:r w:rsidR="00F97638" w:rsidRPr="00601958">
            <w:rPr>
              <w:rFonts w:ascii="Garamond" w:hAnsi="Garamond"/>
              <w:sz w:val="18"/>
              <w:szCs w:val="18"/>
            </w:rPr>
            <w:fldChar w:fldCharType="separate"/>
          </w:r>
          <w:r w:rsidR="00B74C7F">
            <w:rPr>
              <w:rFonts w:ascii="Garamond" w:hAnsi="Garamond"/>
              <w:noProof/>
              <w:sz w:val="18"/>
              <w:szCs w:val="18"/>
            </w:rPr>
            <w:t>1</w:t>
          </w:r>
          <w:r w:rsidR="00F97638" w:rsidRPr="00601958">
            <w:rPr>
              <w:rFonts w:ascii="Garamond" w:hAnsi="Garamond"/>
              <w:sz w:val="18"/>
              <w:szCs w:val="18"/>
            </w:rPr>
            <w:fldChar w:fldCharType="end"/>
          </w:r>
          <w:r w:rsidRPr="00601958">
            <w:rPr>
              <w:rFonts w:ascii="Garamond" w:hAnsi="Garamond"/>
              <w:sz w:val="18"/>
              <w:szCs w:val="18"/>
            </w:rPr>
            <w:t xml:space="preserve"> de </w:t>
          </w:r>
          <w:r w:rsidR="00F97638" w:rsidRPr="00601958">
            <w:rPr>
              <w:rFonts w:ascii="Garamond" w:hAnsi="Garamond"/>
              <w:sz w:val="18"/>
              <w:szCs w:val="18"/>
            </w:rPr>
            <w:fldChar w:fldCharType="begin"/>
          </w:r>
          <w:r w:rsidRPr="00601958">
            <w:rPr>
              <w:rFonts w:ascii="Garamond" w:hAnsi="Garamond"/>
              <w:sz w:val="18"/>
              <w:szCs w:val="18"/>
            </w:rPr>
            <w:instrText xml:space="preserve"> NUMPAGES </w:instrText>
          </w:r>
          <w:r w:rsidR="00F97638" w:rsidRPr="00601958">
            <w:rPr>
              <w:rFonts w:ascii="Garamond" w:hAnsi="Garamond"/>
              <w:sz w:val="18"/>
              <w:szCs w:val="18"/>
            </w:rPr>
            <w:fldChar w:fldCharType="separate"/>
          </w:r>
          <w:r w:rsidR="00B74C7F">
            <w:rPr>
              <w:rFonts w:ascii="Garamond" w:hAnsi="Garamond"/>
              <w:noProof/>
              <w:sz w:val="18"/>
              <w:szCs w:val="18"/>
            </w:rPr>
            <w:t>1</w:t>
          </w:r>
          <w:r w:rsidR="00F97638" w:rsidRPr="00601958">
            <w:rPr>
              <w:rFonts w:ascii="Garamond" w:hAnsi="Garamond"/>
              <w:sz w:val="18"/>
              <w:szCs w:val="18"/>
            </w:rPr>
            <w:fldChar w:fldCharType="end"/>
          </w:r>
        </w:p>
      </w:tc>
      <w:tc>
        <w:tcPr>
          <w:tcW w:w="6096" w:type="dxa"/>
          <w:tcBorders>
            <w:top w:val="nil"/>
            <w:left w:val="nil"/>
            <w:bottom w:val="nil"/>
            <w:right w:val="nil"/>
          </w:tcBorders>
        </w:tcPr>
        <w:p w:rsidR="008C3302" w:rsidRPr="00601958" w:rsidRDefault="00F97638" w:rsidP="00382483">
          <w:pPr>
            <w:spacing w:line="240" w:lineRule="auto"/>
            <w:jc w:val="center"/>
            <w:rPr>
              <w:rFonts w:ascii="Garamond" w:hAnsi="Garamond"/>
              <w:b/>
              <w:bCs/>
              <w:sz w:val="18"/>
              <w:szCs w:val="18"/>
            </w:rPr>
          </w:pPr>
          <w:hyperlink r:id="rId1" w:history="1">
            <w:r w:rsidR="008C3302" w:rsidRPr="00601958">
              <w:rPr>
                <w:rStyle w:val="Hipervnculo"/>
                <w:rFonts w:ascii="Garamond" w:hAnsi="Garamond"/>
                <w:b/>
                <w:bCs/>
                <w:sz w:val="18"/>
                <w:szCs w:val="18"/>
              </w:rPr>
              <w:t>www.csn.es</w:t>
            </w:r>
          </w:hyperlink>
        </w:p>
      </w:tc>
      <w:tc>
        <w:tcPr>
          <w:tcW w:w="2409" w:type="dxa"/>
          <w:vMerge/>
          <w:tcBorders>
            <w:bottom w:val="nil"/>
            <w:right w:val="nil"/>
          </w:tcBorders>
        </w:tcPr>
        <w:p w:rsidR="008C3302" w:rsidRPr="00601958" w:rsidRDefault="008C3302" w:rsidP="00382483">
          <w:pPr>
            <w:spacing w:line="240" w:lineRule="auto"/>
            <w:rPr>
              <w:rFonts w:ascii="Garamond" w:hAnsi="Garamond"/>
              <w:sz w:val="18"/>
              <w:szCs w:val="18"/>
            </w:rPr>
          </w:pPr>
        </w:p>
      </w:tc>
    </w:tr>
  </w:tbl>
  <w:p w:rsidR="008C3302" w:rsidRDefault="008C3302" w:rsidP="00382483">
    <w:pPr>
      <w:pStyle w:val="Piedepgina"/>
    </w:pPr>
  </w:p>
  <w:p w:rsidR="008C3302" w:rsidRDefault="008C33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8DC" w:rsidRDefault="00B958DC" w:rsidP="00975B60">
      <w:pPr>
        <w:spacing w:after="0" w:line="240" w:lineRule="auto"/>
      </w:pPr>
      <w:r>
        <w:separator/>
      </w:r>
    </w:p>
  </w:footnote>
  <w:footnote w:type="continuationSeparator" w:id="0">
    <w:p w:rsidR="00B958DC" w:rsidRDefault="00B958DC" w:rsidP="00975B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302" w:rsidRDefault="00010FFF">
    <w:pPr>
      <w:pStyle w:val="Encabezado"/>
    </w:pPr>
    <w:r>
      <w:rPr>
        <w:rFonts w:ascii="TradeGothic" w:hAnsi="TradeGothic"/>
        <w:b/>
        <w:noProof/>
        <w:color w:val="333333"/>
        <w:lang w:eastAsia="es-ES"/>
      </w:rPr>
      <w:drawing>
        <wp:inline distT="0" distB="0" distL="0" distR="0">
          <wp:extent cx="2560320" cy="617220"/>
          <wp:effectExtent l="19050" t="0" r="0" b="0"/>
          <wp:docPr id="1" name="Imagen 1" descr="CSN LOGOTIPO color 300 ppipequeñ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SN LOGOTIPO color 300 ppipequeño"/>
                  <pic:cNvPicPr>
                    <a:picLocks noChangeAspect="1" noChangeArrowheads="1"/>
                  </pic:cNvPicPr>
                </pic:nvPicPr>
                <pic:blipFill>
                  <a:blip r:embed="rId1"/>
                  <a:srcRect/>
                  <a:stretch>
                    <a:fillRect/>
                  </a:stretch>
                </pic:blipFill>
                <pic:spPr bwMode="auto">
                  <a:xfrm>
                    <a:off x="0" y="0"/>
                    <a:ext cx="2560320" cy="617220"/>
                  </a:xfrm>
                  <a:prstGeom prst="rect">
                    <a:avLst/>
                  </a:prstGeom>
                  <a:noFill/>
                  <a:ln w="9525">
                    <a:noFill/>
                    <a:miter lim="800000"/>
                    <a:headEnd/>
                    <a:tailEnd/>
                  </a:ln>
                </pic:spPr>
              </pic:pic>
            </a:graphicData>
          </a:graphic>
        </wp:inline>
      </w:drawing>
    </w:r>
  </w:p>
  <w:p w:rsidR="008C3302" w:rsidRDefault="008C330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229C5"/>
    <w:multiLevelType w:val="hybridMultilevel"/>
    <w:tmpl w:val="2CFE57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0A75509"/>
    <w:multiLevelType w:val="hybridMultilevel"/>
    <w:tmpl w:val="0F44F69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75B60"/>
    <w:rsid w:val="00010FFF"/>
    <w:rsid w:val="000263D0"/>
    <w:rsid w:val="000546A7"/>
    <w:rsid w:val="0017127A"/>
    <w:rsid w:val="001A7D34"/>
    <w:rsid w:val="001C237E"/>
    <w:rsid w:val="001F2D3A"/>
    <w:rsid w:val="002174D5"/>
    <w:rsid w:val="002739D6"/>
    <w:rsid w:val="002C0BC3"/>
    <w:rsid w:val="002F2239"/>
    <w:rsid w:val="00332048"/>
    <w:rsid w:val="003421B3"/>
    <w:rsid w:val="00382483"/>
    <w:rsid w:val="00392459"/>
    <w:rsid w:val="004059A5"/>
    <w:rsid w:val="004304AB"/>
    <w:rsid w:val="004D3F38"/>
    <w:rsid w:val="0054025D"/>
    <w:rsid w:val="00544352"/>
    <w:rsid w:val="006138D1"/>
    <w:rsid w:val="0064660E"/>
    <w:rsid w:val="006D318E"/>
    <w:rsid w:val="00772B04"/>
    <w:rsid w:val="007A562B"/>
    <w:rsid w:val="007D63C9"/>
    <w:rsid w:val="008068B4"/>
    <w:rsid w:val="0083593A"/>
    <w:rsid w:val="00837E97"/>
    <w:rsid w:val="00851177"/>
    <w:rsid w:val="008B29E1"/>
    <w:rsid w:val="008C3302"/>
    <w:rsid w:val="008C3DF2"/>
    <w:rsid w:val="009332EE"/>
    <w:rsid w:val="00975B60"/>
    <w:rsid w:val="009916A8"/>
    <w:rsid w:val="00A41447"/>
    <w:rsid w:val="00A64EE4"/>
    <w:rsid w:val="00A972BD"/>
    <w:rsid w:val="00A975BA"/>
    <w:rsid w:val="00AC5593"/>
    <w:rsid w:val="00AE2B5F"/>
    <w:rsid w:val="00AF78B0"/>
    <w:rsid w:val="00B43973"/>
    <w:rsid w:val="00B74C7F"/>
    <w:rsid w:val="00B958DC"/>
    <w:rsid w:val="00BB0FB2"/>
    <w:rsid w:val="00C4115D"/>
    <w:rsid w:val="00C473BB"/>
    <w:rsid w:val="00C753CD"/>
    <w:rsid w:val="00CA1B70"/>
    <w:rsid w:val="00CB17A4"/>
    <w:rsid w:val="00CD1DE5"/>
    <w:rsid w:val="00CF128F"/>
    <w:rsid w:val="00DC3F03"/>
    <w:rsid w:val="00E004BB"/>
    <w:rsid w:val="00E43656"/>
    <w:rsid w:val="00E94E79"/>
    <w:rsid w:val="00EB6453"/>
    <w:rsid w:val="00F15E13"/>
    <w:rsid w:val="00F2244D"/>
    <w:rsid w:val="00F54648"/>
    <w:rsid w:val="00F97638"/>
    <w:rsid w:val="00FD799D"/>
    <w:rsid w:val="00FE32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BC3"/>
    <w:pPr>
      <w:spacing w:after="200" w:line="276" w:lineRule="auto"/>
    </w:pPr>
    <w:rPr>
      <w:sz w:val="22"/>
      <w:szCs w:val="22"/>
      <w:lang w:eastAsia="ko-K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975B60"/>
    <w:pPr>
      <w:tabs>
        <w:tab w:val="center" w:pos="4252"/>
        <w:tab w:val="right" w:pos="8504"/>
      </w:tabs>
      <w:spacing w:after="0" w:line="240" w:lineRule="auto"/>
    </w:pPr>
  </w:style>
  <w:style w:type="character" w:customStyle="1" w:styleId="EncabezadoCar">
    <w:name w:val="Encabezado Car"/>
    <w:basedOn w:val="Fuentedeprrafopredeter"/>
    <w:link w:val="Encabezado"/>
    <w:rsid w:val="00975B60"/>
  </w:style>
  <w:style w:type="paragraph" w:styleId="Piedepgina">
    <w:name w:val="footer"/>
    <w:basedOn w:val="Normal"/>
    <w:link w:val="PiedepginaCar"/>
    <w:unhideWhenUsed/>
    <w:rsid w:val="00975B60"/>
    <w:pPr>
      <w:tabs>
        <w:tab w:val="center" w:pos="4252"/>
        <w:tab w:val="right" w:pos="8504"/>
      </w:tabs>
      <w:spacing w:after="0" w:line="240" w:lineRule="auto"/>
    </w:pPr>
  </w:style>
  <w:style w:type="character" w:customStyle="1" w:styleId="PiedepginaCar">
    <w:name w:val="Pie de página Car"/>
    <w:basedOn w:val="Fuentedeprrafopredeter"/>
    <w:link w:val="Piedepgina"/>
    <w:rsid w:val="00975B60"/>
  </w:style>
  <w:style w:type="paragraph" w:styleId="Textodeglobo">
    <w:name w:val="Balloon Text"/>
    <w:basedOn w:val="Normal"/>
    <w:link w:val="TextodegloboCar"/>
    <w:uiPriority w:val="99"/>
    <w:semiHidden/>
    <w:unhideWhenUsed/>
    <w:rsid w:val="00975B6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975B60"/>
    <w:rPr>
      <w:rFonts w:ascii="Tahoma" w:hAnsi="Tahoma" w:cs="Tahoma"/>
      <w:sz w:val="16"/>
      <w:szCs w:val="16"/>
    </w:rPr>
  </w:style>
  <w:style w:type="character" w:styleId="Hipervnculo">
    <w:name w:val="Hyperlink"/>
    <w:rsid w:val="00382483"/>
    <w:rPr>
      <w:rFonts w:cs="Times New Roman"/>
      <w:color w:val="0000FF"/>
      <w:u w:val="single"/>
    </w:rPr>
  </w:style>
  <w:style w:type="paragraph" w:customStyle="1" w:styleId="Default">
    <w:name w:val="Default"/>
    <w:rsid w:val="00DC3F03"/>
    <w:pPr>
      <w:autoSpaceDE w:val="0"/>
      <w:autoSpaceDN w:val="0"/>
      <w:adjustRightInd w:val="0"/>
    </w:pPr>
    <w:rPr>
      <w:rFonts w:ascii="TradeGothic" w:hAnsi="TradeGothic" w:cs="TradeGothic"/>
      <w:color w:val="000000"/>
      <w:sz w:val="24"/>
      <w:szCs w:val="24"/>
      <w:lang w:eastAsia="zh-CN"/>
    </w:rPr>
  </w:style>
  <w:style w:type="paragraph" w:customStyle="1" w:styleId="Body1">
    <w:name w:val="Body 1"/>
    <w:rsid w:val="002739D6"/>
    <w:pPr>
      <w:spacing w:after="200" w:line="276" w:lineRule="auto"/>
      <w:outlineLvl w:val="0"/>
    </w:pPr>
    <w:rPr>
      <w:rFonts w:ascii="Helvetica" w:eastAsia="Arial Unicode MS" w:hAnsi="Helvetica"/>
      <w:color w:val="000000"/>
      <w:sz w:val="22"/>
      <w:u w:color="000000"/>
      <w:lang w:eastAsia="zh-CN"/>
    </w:rPr>
  </w:style>
  <w:style w:type="paragraph" w:styleId="NormalWeb">
    <w:name w:val="Normal (Web)"/>
    <w:basedOn w:val="Normal"/>
    <w:uiPriority w:val="99"/>
    <w:rsid w:val="009916A8"/>
    <w:pPr>
      <w:spacing w:after="120" w:line="240" w:lineRule="auto"/>
    </w:pPr>
    <w:rPr>
      <w:rFonts w:ascii="Times New Roman" w:eastAsia="SimSun" w:hAnsi="Times New Roman"/>
      <w:sz w:val="24"/>
      <w:szCs w:val="24"/>
      <w:lang w:eastAsia="zh-CN"/>
    </w:rPr>
  </w:style>
  <w:style w:type="character" w:styleId="nfasis">
    <w:name w:val="Emphasis"/>
    <w:basedOn w:val="Fuentedeprrafopredeter"/>
    <w:uiPriority w:val="20"/>
    <w:qFormat/>
    <w:rsid w:val="009916A8"/>
    <w:rPr>
      <w:b/>
      <w:bCs/>
      <w:i w:val="0"/>
      <w:iCs w:val="0"/>
    </w:rPr>
  </w:style>
  <w:style w:type="character" w:styleId="Hipervnculovisitado">
    <w:name w:val="FollowedHyperlink"/>
    <w:basedOn w:val="Fuentedeprrafopredeter"/>
    <w:uiPriority w:val="99"/>
    <w:semiHidden/>
    <w:unhideWhenUsed/>
    <w:rsid w:val="00F15E1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s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613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728</CharactersWithSpaces>
  <SharedDoc>false</SharedDoc>
  <HLinks>
    <vt:vector size="6" baseType="variant">
      <vt:variant>
        <vt:i4>7078014</vt:i4>
      </vt:variant>
      <vt:variant>
        <vt:i4>6</vt:i4>
      </vt:variant>
      <vt:variant>
        <vt:i4>0</vt:i4>
      </vt:variant>
      <vt:variant>
        <vt:i4>5</vt:i4>
      </vt:variant>
      <vt:variant>
        <vt:lpwstr>http://www.csn.es/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nmm</dc:creator>
  <cp:lastModifiedBy>.</cp:lastModifiedBy>
  <cp:revision>3</cp:revision>
  <cp:lastPrinted>2014-03-05T15:43:00Z</cp:lastPrinted>
  <dcterms:created xsi:type="dcterms:W3CDTF">2015-02-09T13:21:00Z</dcterms:created>
  <dcterms:modified xsi:type="dcterms:W3CDTF">2015-02-09T13:22:00Z</dcterms:modified>
</cp:coreProperties>
</file>